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ДОМ ЗДРАВЉА НОВИ КНЕЖЕВАЦ 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05-01/18-2</w:t>
      </w:r>
      <w:r>
        <w:rPr>
          <w:b/>
          <w:lang w:val="sr-RS"/>
        </w:rPr>
        <w:tab/>
        <w:tab/>
        <w:tab/>
        <w:tab/>
        <w:t xml:space="preserve">         </w:t>
      </w:r>
      <w:r>
        <w:rPr>
          <w:b/>
        </w:rPr>
        <w:t>11/2017 – Oдржавање лаб. опреме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14.06.2017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11/2017 од </w:t>
      </w:r>
      <w:r>
        <w:rPr/>
        <w:t>14.06.2017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додели уговора на основу Јавне набавке мале вредности 1</w:t>
      </w:r>
      <w:r>
        <w:rPr>
          <w:b/>
        </w:rPr>
        <w:t>1/2017.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услуга одржавања лабораторијске опреме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Јавна набавка мале вредности ради закључивања уговора – набавка услуга одржавања лабораторијске опреме по партијама</w:t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  <w:jc w:val="both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.05-01/18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29.05.2017.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 xml:space="preserve">ЈН </w:t>
      </w:r>
      <w:r>
        <w:rPr>
          <w:color w:val="000000"/>
        </w:rPr>
        <w:t>11/2017.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29.05</w:t>
      </w:r>
      <w:r>
        <w:rPr>
          <w:lang w:val="sr-RS"/>
        </w:rPr>
        <w:t>.201</w:t>
      </w:r>
      <w:r>
        <w:rPr/>
        <w:t>7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УСЛУГА ОДРЖАВАЊА ЛАБОРАТОРИЈСКЕ ОПРЕМЕ</w:t>
      </w:r>
      <w:r>
        <w:rPr>
          <w:b/>
        </w:rPr>
        <w:t xml:space="preserve"> </w:t>
      </w:r>
      <w:r>
        <w:rPr>
          <w:bCs/>
        </w:rPr>
        <w:t>(назив и ознака из општег речника набавки:</w:t>
      </w:r>
      <w:r>
        <w:rPr>
          <w:b/>
          <w:lang w:val="sr-RS"/>
        </w:rPr>
        <w:t xml:space="preserve"> 50400000 – </w:t>
      </w:r>
      <w:r>
        <w:rPr>
          <w:b/>
        </w:rPr>
        <w:t>Услуге</w:t>
      </w:r>
      <w:r>
        <w:rPr>
          <w:b/>
          <w:lang w:val="sr-RS"/>
        </w:rPr>
        <w:t xml:space="preserve"> </w:t>
      </w:r>
      <w:r>
        <w:rPr>
          <w:b/>
        </w:rPr>
        <w:t>поправке и одржавања</w:t>
      </w:r>
      <w:r>
        <w:rPr>
          <w:b/>
          <w:lang w:val="sr-RS"/>
        </w:rPr>
        <w:t xml:space="preserve"> </w:t>
      </w:r>
      <w:r>
        <w:rPr>
          <w:b/>
        </w:rPr>
        <w:t>медицинске и прецизне</w:t>
      </w:r>
      <w:r>
        <w:rPr>
          <w:b/>
          <w:lang w:val="sr-RS"/>
        </w:rPr>
        <w:t xml:space="preserve"> </w:t>
      </w:r>
      <w:r>
        <w:rPr>
          <w:b/>
        </w:rPr>
        <w:t>опреме</w:t>
      </w:r>
      <w:r>
        <w:rPr>
          <w:b/>
          <w:lang w:val="sr-RS"/>
        </w:rPr>
        <w:t xml:space="preserve"> </w:t>
      </w: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6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37"/>
        <w:spacing w:after="0" w:before="0"/>
        <w:ind w:hanging="0" w:left="0" w:right="0"/>
      </w:pPr>
      <w:r>
        <w:rPr>
          <w:rFonts w:ascii="Times New Roman" w:hAnsi="Times New Roman"/>
          <w:sz w:val="24"/>
          <w:lang w:val="sr-RS"/>
        </w:rPr>
        <w:t xml:space="preserve">Процењена вредност јавне набавке без обрачунатог пореза на додату вредност, </w:t>
      </w:r>
      <w:r>
        <w:rPr>
          <w:rFonts w:ascii="Times New Roman" w:hAnsi="Times New Roman"/>
          <w:b/>
          <w:sz w:val="24"/>
          <w:lang w:val="sr-RS"/>
        </w:rPr>
        <w:t xml:space="preserve">укупно износи </w:t>
      </w:r>
      <w:r>
        <w:rPr>
          <w:rFonts w:ascii="Times New Roman" w:hAnsi="Times New Roman"/>
          <w:b/>
          <w:sz w:val="24"/>
          <w:lang w:val="hu-HU"/>
        </w:rPr>
        <w:t>5</w:t>
      </w:r>
      <w:r>
        <w:rPr>
          <w:rFonts w:ascii="Times New Roman" w:hAnsi="Times New Roman"/>
          <w:b/>
          <w:sz w:val="24"/>
        </w:rPr>
        <w:t>40.000</w:t>
      </w:r>
      <w:r>
        <w:rPr>
          <w:rFonts w:ascii="Times New Roman" w:hAnsi="Times New Roman"/>
          <w:b/>
          <w:sz w:val="24"/>
          <w:lang w:val="hu-HU"/>
        </w:rPr>
        <w:t>,00</w:t>
      </w:r>
      <w:r>
        <w:rPr>
          <w:rFonts w:ascii="Times New Roman" w:hAnsi="Times New Roman"/>
          <w:b/>
        </w:rPr>
        <w:t xml:space="preserve"> динара.</w:t>
      </w:r>
    </w:p>
    <w:p>
      <w:pPr>
        <w:pStyle w:val="style37"/>
        <w:spacing w:after="0" w:before="0"/>
        <w:ind w:hanging="0" w:left="0" w:right="0"/>
      </w:pPr>
      <w:r>
        <w:rPr>
          <w:rFonts w:ascii="Times New Roman" w:hAnsi="Times New Roman"/>
          <w:b/>
        </w:rPr>
        <w:t>Процењена вредност по партијама: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</w:rPr>
        <w:t xml:space="preserve">Партија 1. – </w:t>
      </w:r>
      <w:r>
        <w:rPr>
          <w:b/>
          <w:bCs/>
        </w:rPr>
        <w:t>РЕДОВАН ПРЕВЕНТИВНИ СЕРВИС БИОХЕМИЈСКОГ АНАЛИЗАТОРА „MINDRAY BS 300“ – 215.000,00 динара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</w:rPr>
        <w:t xml:space="preserve">Партија 2. – </w:t>
      </w:r>
      <w:r>
        <w:rPr>
          <w:b/>
          <w:bCs/>
        </w:rPr>
        <w:t>РЕДОВАН ПРЕВЕНТИВНИ СЕРВИС ХЕМАТОЛОШКОГ АНАЛИЗАТОРА „SISMEX KX21N“ – 75.000,00 динара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</w:rPr>
        <w:t xml:space="preserve">Партија 3.- </w:t>
      </w:r>
      <w:r>
        <w:rPr>
          <w:b/>
          <w:bCs/>
        </w:rPr>
        <w:t>РЕДОВНО ОДРЖАВАЊЕ АПАРАТА ЗА ДЕЈОНИЗАЦИЈУ ВОДЕ „TSRO75  ATLAS FILTRI“ – 40.000,00 динара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</w:rPr>
        <w:t xml:space="preserve">Партија 4.- </w:t>
      </w:r>
      <w:r>
        <w:rPr>
          <w:b/>
          <w:bCs/>
        </w:rPr>
        <w:t>РЕДОВНО ОДРЖАВАЊЕ АПАРАТА ЗА ДЕСТИЛАЦИЈУ ВОДЕ D-20 СУТЈЕСКА – 10.000,00 динара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i/>
        </w:rPr>
        <w:t>Партија 5</w:t>
      </w:r>
      <w:r>
        <w:rPr>
          <w:b/>
          <w:bCs/>
        </w:rPr>
        <w:t>. – ПОПРАВКА ЦЕНТРИФУГЕ „JANEZKI“ T 150 – 200.000,00 динара</w:t>
      </w:r>
    </w:p>
    <w:p>
      <w:pPr>
        <w:pStyle w:val="style0"/>
        <w:jc w:val="both"/>
      </w:pPr>
      <w:r>
        <w:rPr>
          <w:b/>
          <w:lang w:val="sr-RS"/>
        </w:rPr>
        <w:t>1. 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  <w:r>
        <w:rPr/>
        <w:t>.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jc w:val="both"/>
      </w:pPr>
      <w:r>
        <w:rPr>
          <w:color w:val="000000"/>
        </w:rPr>
        <w:t xml:space="preserve">Јавно отварање понуда одржано је 07.06.2017. године, </w:t>
      </w:r>
      <w:r>
        <w:rPr>
          <w:color w:val="000000"/>
          <w:lang w:val="sr-RS"/>
        </w:rPr>
        <w:t xml:space="preserve">о чему је сачињен Записник брoj </w:t>
      </w:r>
      <w:r>
        <w:rPr>
          <w:color w:val="000000"/>
        </w:rPr>
        <w:t>05-01/18</w:t>
      </w:r>
      <w:r>
        <w:rPr>
          <w:color w:val="000000"/>
          <w:lang w:val="sr-RS"/>
        </w:rPr>
        <w:t>.</w:t>
      </w:r>
    </w:p>
    <w:p>
      <w:pPr>
        <w:pStyle w:val="style30"/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  <w:lang w:val="sr-RS"/>
        </w:rPr>
        <w:t xml:space="preserve"> </w:t>
      </w:r>
      <w:r>
        <w:rPr>
          <w:rFonts w:ascii="Times New Roman" w:hAnsi="Times New Roman"/>
          <w:sz w:val="32"/>
          <w:szCs w:val="32"/>
          <w:lang w:val="hu-HU"/>
        </w:rPr>
        <w:t>3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три</w:t>
      </w:r>
      <w:r>
        <w:rPr>
          <w:rFonts w:ascii="Times New Roman" w:hAnsi="Times New Roman"/>
          <w:sz w:val="32"/>
          <w:szCs w:val="32"/>
          <w:lang w:val="sr-R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 xml:space="preserve"> понуђача:</w:t>
      </w:r>
    </w:p>
    <w:p>
      <w:pPr>
        <w:pStyle w:val="style0"/>
        <w:jc w:val="both"/>
      </w:pPr>
      <w:r>
        <w:rPr/>
      </w:r>
    </w:p>
    <w:p>
      <w:pPr>
        <w:pStyle w:val="style34"/>
        <w:numPr>
          <w:ilvl w:val="0"/>
          <w:numId w:val="4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EUROMEDICINA“ DOO., Лаза Лазаревића 25., 21000 НОВИ САД</w:t>
      </w:r>
    </w:p>
    <w:p>
      <w:pPr>
        <w:pStyle w:val="style34"/>
        <w:numPr>
          <w:ilvl w:val="0"/>
          <w:numId w:val="4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YUNICOM“ DOO., Булевар ослобођења 185., 11000 БЕОГРАД</w:t>
      </w:r>
    </w:p>
    <w:p>
      <w:pPr>
        <w:pStyle w:val="style34"/>
        <w:numPr>
          <w:ilvl w:val="0"/>
          <w:numId w:val="4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ENGEL“ DOO., Новака Радоњића 59., 21000 НОВИ САД</w:t>
      </w:r>
    </w:p>
    <w:p>
      <w:pPr>
        <w:pStyle w:val="style34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30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b/>
          <w:lang w:val="sr-RS"/>
        </w:rPr>
        <w:t xml:space="preserve">Називи, односно имена понуђача чије су понуде одбијене и разлози за њихово одбијање: Нема 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  <w:b/>
          <w:lang w:val="sr-RS"/>
        </w:rPr>
        <w:t>За ПАРТИЈУ 3. и 4. није пристигла ни једна понуда.</w:t>
      </w:r>
    </w:p>
    <w:p>
      <w:pPr>
        <w:pStyle w:val="style34"/>
        <w:ind w:hanging="0" w:left="1080" w:right="0"/>
        <w:jc w:val="both"/>
      </w:pPr>
      <w:r>
        <w:rPr/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b/>
          <w:lang w:val="sr-RS"/>
        </w:rPr>
        <w:t xml:space="preserve">Начин примене методологије доделе пондера: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</w:t>
      </w:r>
      <w:r>
        <w:rPr>
          <w:color w:val="000000"/>
        </w:rPr>
        <w:t>Нови Кнежевац</w:t>
      </w:r>
      <w:r>
        <w:rPr>
          <w:color w:val="000000"/>
          <w:lang w:val="sr-R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  <w:r>
        <w:rPr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>
          <w:iCs/>
        </w:rPr>
        <w:t xml:space="preserve">Елементи критеријума </w:t>
      </w:r>
      <w:r>
        <w:rPr>
          <w:iCs/>
          <w:lang w:val="sr-RS"/>
        </w:rPr>
        <w:t>су:</w:t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/>
      </w:r>
    </w:p>
    <w:p>
      <w:pPr>
        <w:pStyle w:val="style34"/>
        <w:numPr>
          <w:ilvl w:val="0"/>
          <w:numId w:val="2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  <w:iCs/>
          <w:lang w:val="sr-RS"/>
        </w:rPr>
        <w:t>ПОНУЂЕНА ЦЕНА ......................................................................8</w:t>
      </w:r>
      <w:r>
        <w:rPr>
          <w:rFonts w:ascii="Times New Roman" w:hAnsi="Times New Roman"/>
          <w:iCs/>
        </w:rPr>
        <w:t>0</w:t>
      </w:r>
      <w:r>
        <w:rPr>
          <w:rFonts w:ascii="Times New Roman" w:hAnsi="Times New Roman"/>
          <w:iCs/>
          <w:lang w:val="sr-RS"/>
        </w:rPr>
        <w:t xml:space="preserve"> пондера</w:t>
      </w:r>
    </w:p>
    <w:p>
      <w:pPr>
        <w:pStyle w:val="style34"/>
        <w:tabs>
          <w:tab w:leader="none" w:pos="1428" w:val="left"/>
          <w:tab w:leader="dot" w:pos="9662" w:val="left"/>
        </w:tabs>
        <w:spacing w:line="216" w:lineRule="auto"/>
      </w:pPr>
      <w:r>
        <w:rPr/>
      </w:r>
    </w:p>
    <w:p>
      <w:pPr>
        <w:pStyle w:val="style34"/>
        <w:numPr>
          <w:ilvl w:val="0"/>
          <w:numId w:val="2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  <w:lang w:val="sr-RS"/>
        </w:rPr>
        <w:t xml:space="preserve">РОК ИЗВРШЕЊА УСЛУГА......................................................... </w:t>
      </w:r>
      <w:r>
        <w:rPr>
          <w:rFonts w:ascii="Times New Roman" w:hAnsi="Times New Roman"/>
        </w:rPr>
        <w:t>10 пондера</w:t>
      </w:r>
    </w:p>
    <w:p>
      <w:pPr>
        <w:pStyle w:val="style34"/>
      </w:pPr>
      <w:r>
        <w:rPr/>
      </w:r>
    </w:p>
    <w:p>
      <w:pPr>
        <w:pStyle w:val="style34"/>
        <w:numPr>
          <w:ilvl w:val="0"/>
          <w:numId w:val="2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</w:rPr>
        <w:t>РОК ПЛАЋАЊА............................................................................10  пондера</w:t>
      </w:r>
    </w:p>
    <w:p>
      <w:pPr>
        <w:pStyle w:val="style0"/>
        <w:tabs>
          <w:tab w:leader="none" w:pos="1414" w:val="left"/>
          <w:tab w:leader="dot" w:pos="9634" w:val="left"/>
        </w:tabs>
        <w:spacing w:line="216" w:lineRule="auto"/>
        <w:ind w:hanging="0" w:left="706" w:right="0"/>
      </w:pPr>
      <w:r>
        <w:rPr/>
      </w:r>
    </w:p>
    <w:p>
      <w:pPr>
        <w:pStyle w:val="style0"/>
        <w:keepNext/>
      </w:pPr>
      <w:r>
        <w:rPr>
          <w:b/>
          <w:bCs/>
          <w:sz w:val="22"/>
          <w:szCs w:val="22"/>
          <w:lang w:val="sr-RS"/>
        </w:rPr>
        <w:t>ИЗРАЧУНАВАЊЕ КРИТЕРИЈУМА</w:t>
      </w:r>
    </w:p>
    <w:p>
      <w:pPr>
        <w:pStyle w:val="style0"/>
        <w:keepNext/>
      </w:pPr>
      <w:r>
        <w:rPr/>
      </w:r>
    </w:p>
    <w:p>
      <w:pPr>
        <w:pStyle w:val="style34"/>
        <w:keepNext/>
        <w:numPr>
          <w:ilvl w:val="0"/>
          <w:numId w:val="3"/>
        </w:numPr>
        <w:tabs>
          <w:tab w:leader="none" w:pos="1428" w:val="left"/>
          <w:tab w:leader="dot" w:pos="9662" w:val="left"/>
        </w:tabs>
        <w:spacing w:line="192" w:lineRule="auto"/>
      </w:pPr>
      <w:r>
        <w:rPr>
          <w:rFonts w:ascii="Times New Roman" w:hAnsi="Times New Roman"/>
          <w:b/>
          <w:bCs/>
          <w:i/>
          <w:u w:val="single"/>
          <w:lang w:val="sr-RS"/>
        </w:rPr>
        <w:t>ЦЕНА</w:t>
      </w:r>
      <w:r>
        <w:rPr>
          <w:rFonts w:ascii="Times New Roman" w:hAnsi="Times New Roman"/>
          <w:bCs/>
          <w:i/>
          <w:u w:val="single"/>
          <w:lang w:val="sr-RS"/>
        </w:rPr>
        <w:t xml:space="preserve"> </w:t>
      </w:r>
      <w:r>
        <w:rPr>
          <w:rFonts w:ascii="Times New Roman" w:hAnsi="Times New Roman"/>
          <w:bCs/>
          <w:lang w:val="sr-RS"/>
        </w:rPr>
        <w:t>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80</w:t>
      </w:r>
      <w:r>
        <w:rPr>
          <w:rFonts w:ascii="Times New Roman" w:hAnsi="Times New Roman"/>
          <w:b/>
          <w:bCs/>
          <w:lang w:val="sr-RS"/>
        </w:rPr>
        <w:t xml:space="preserve"> пондера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ab/>
        <w:tab/>
        <w:tab/>
        <w:tab/>
        <w:tab/>
        <w:tab/>
        <w:t xml:space="preserve">         </w:t>
      </w:r>
      <w:r>
        <w:rPr>
          <w:rFonts w:eastAsia="Calibri"/>
          <w:i/>
          <w:lang w:val="sr-RS"/>
        </w:rPr>
        <w:t xml:space="preserve">Најнижа понуђена цена                          </w:t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 xml:space="preserve"> </w:t>
      </w:r>
      <w:r>
        <w:rPr>
          <w:rFonts w:eastAsia="Calibri"/>
          <w:lang w:val="sr-RS"/>
        </w:rPr>
        <w:t xml:space="preserve">Број пондера се одређује по формули=  ---------------------------------------------- x </w:t>
      </w:r>
      <w:r>
        <w:rPr>
          <w:rFonts w:eastAsia="Calibri"/>
        </w:rPr>
        <w:t>80</w:t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ab/>
        <w:tab/>
        <w:tab/>
        <w:tab/>
        <w:tab/>
        <w:t xml:space="preserve">         </w:t>
      </w:r>
      <w:r>
        <w:rPr>
          <w:rFonts w:eastAsia="Calibri"/>
          <w:i/>
          <w:lang w:val="sr-RS"/>
        </w:rPr>
        <w:t xml:space="preserve">Понуђена цена из понуде која се оцењује 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spacing w:line="192" w:lineRule="auto"/>
      </w:pPr>
      <w:r>
        <w:rPr/>
      </w:r>
    </w:p>
    <w:p>
      <w:pPr>
        <w:pStyle w:val="style34"/>
        <w:numPr>
          <w:ilvl w:val="0"/>
          <w:numId w:val="3"/>
        </w:numPr>
        <w:spacing w:line="192" w:lineRule="auto"/>
      </w:pPr>
      <w:r>
        <w:rPr>
          <w:rFonts w:ascii="Times New Roman" w:eastAsia="Calibri" w:hAnsi="Times New Roman"/>
          <w:b/>
          <w:i/>
          <w:u w:val="single"/>
          <w:lang w:val="sr-RS"/>
        </w:rPr>
        <w:t>РОК ИЗВРШЕЊА УСЛУГА</w:t>
      </w:r>
      <w:r>
        <w:rPr>
          <w:rFonts w:ascii="Times New Roman" w:eastAsia="Calibri" w:hAnsi="Times New Roman"/>
          <w:lang w:val="sr-RS"/>
        </w:rPr>
        <w:t>......................................................</w:t>
      </w:r>
      <w:r>
        <w:rPr>
          <w:rFonts w:ascii="Times New Roman" w:eastAsia="Calibri" w:hAnsi="Times New Roman"/>
          <w:b/>
          <w:lang w:val="sr-RS"/>
        </w:rPr>
        <w:t>1</w:t>
      </w:r>
      <w:r>
        <w:rPr>
          <w:rFonts w:ascii="Times New Roman" w:eastAsia="Calibri" w:hAnsi="Times New Roman"/>
          <w:b/>
        </w:rPr>
        <w:t>0 пондера</w:t>
      </w:r>
    </w:p>
    <w:p>
      <w:pPr>
        <w:pStyle w:val="style34"/>
        <w:spacing w:line="192" w:lineRule="auto"/>
      </w:pPr>
      <w:r>
        <w:rPr/>
      </w:r>
    </w:p>
    <w:p>
      <w:pPr>
        <w:pStyle w:val="style34"/>
        <w:numPr>
          <w:ilvl w:val="0"/>
          <w:numId w:val="1"/>
        </w:numPr>
        <w:spacing w:line="192" w:lineRule="auto"/>
      </w:pPr>
      <w:r>
        <w:rPr>
          <w:rFonts w:ascii="Times New Roman" w:eastAsia="Calibri" w:hAnsi="Times New Roman"/>
          <w:lang w:val="sr-RS"/>
        </w:rPr>
        <w:t>Најкраћи рок извршења услуга....................................................1</w:t>
      </w:r>
      <w:r>
        <w:rPr>
          <w:rFonts w:ascii="Times New Roman" w:eastAsia="Calibri" w:hAnsi="Times New Roman"/>
        </w:rPr>
        <w:t>0 пондера</w:t>
      </w:r>
    </w:p>
    <w:p>
      <w:pPr>
        <w:pStyle w:val="style34"/>
        <w:numPr>
          <w:ilvl w:val="0"/>
          <w:numId w:val="1"/>
        </w:numPr>
        <w:spacing w:line="192" w:lineRule="auto"/>
      </w:pPr>
      <w:r>
        <w:rPr>
          <w:rFonts w:ascii="Times New Roman" w:eastAsia="Calibri" w:hAnsi="Times New Roman"/>
        </w:rPr>
        <w:t>Сваки следећи ........................................................................5 пондера мање</w:t>
      </w:r>
    </w:p>
    <w:p>
      <w:pPr>
        <w:pStyle w:val="style0"/>
        <w:keepNext/>
        <w:tabs>
          <w:tab w:leader="none" w:pos="708" w:val="left"/>
          <w:tab w:leader="dot" w:pos="8222" w:val="left"/>
        </w:tabs>
      </w:pPr>
      <w:r>
        <w:rPr/>
      </w:r>
    </w:p>
    <w:p>
      <w:pPr>
        <w:pStyle w:val="style34"/>
        <w:keepNext/>
        <w:numPr>
          <w:ilvl w:val="0"/>
          <w:numId w:val="3"/>
        </w:numPr>
        <w:tabs>
          <w:tab w:leader="none" w:pos="1428" w:val="left"/>
          <w:tab w:leader="dot" w:pos="9662" w:val="left"/>
        </w:tabs>
      </w:pPr>
      <w:r>
        <w:rPr>
          <w:rFonts w:ascii="Times New Roman" w:hAnsi="Times New Roman"/>
          <w:b/>
          <w:bCs/>
          <w:i/>
          <w:u w:val="single"/>
          <w:lang w:val="sr-RS"/>
        </w:rPr>
        <w:t>РОК ПЛАЋАЊА</w:t>
      </w:r>
      <w:r>
        <w:rPr>
          <w:rFonts w:ascii="Times New Roman" w:hAnsi="Times New Roman"/>
          <w:bCs/>
          <w:i/>
          <w:lang w:val="sr-RS"/>
        </w:rPr>
        <w:t>.........................................................................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  <w:lang w:val="sr-RS"/>
        </w:rPr>
        <w:t xml:space="preserve"> пондера</w:t>
      </w:r>
    </w:p>
    <w:p>
      <w:pPr>
        <w:pStyle w:val="style0"/>
      </w:pPr>
      <w:r>
        <w:rPr>
          <w:rFonts w:eastAsia="Calibri"/>
          <w:lang w:val="sr-RS"/>
        </w:rPr>
        <w:tab/>
        <w:tab/>
        <w:tab/>
        <w:tab/>
      </w:r>
    </w:p>
    <w:p>
      <w:pPr>
        <w:pStyle w:val="style34"/>
        <w:numPr>
          <w:ilvl w:val="0"/>
          <w:numId w:val="1"/>
        </w:numPr>
        <w:jc w:val="both"/>
      </w:pPr>
      <w:r>
        <w:rPr>
          <w:rFonts w:ascii="Times New Roman" w:hAnsi="Times New Roman"/>
          <w:lang w:val="sr-RS"/>
        </w:rPr>
        <w:t>Најдужи рок плаћања.....................................................................1</w:t>
      </w:r>
      <w:r>
        <w:rPr>
          <w:rFonts w:ascii="Times New Roman" w:hAnsi="Times New Roman"/>
        </w:rPr>
        <w:t>0 пондера</w:t>
      </w:r>
    </w:p>
    <w:p>
      <w:pPr>
        <w:pStyle w:val="style34"/>
        <w:numPr>
          <w:ilvl w:val="0"/>
          <w:numId w:val="1"/>
        </w:numPr>
        <w:jc w:val="both"/>
      </w:pPr>
      <w:r>
        <w:rPr>
          <w:rFonts w:ascii="Times New Roman" w:hAnsi="Times New Roman"/>
        </w:rPr>
        <w:t>Сваки следећи.........................................................................5 пондера мање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  <w:jc w:val="both"/>
      </w:pPr>
      <w:r>
        <w:rPr/>
      </w:r>
    </w:p>
    <w:p>
      <w:pPr>
        <w:pStyle w:val="style0"/>
        <w:widowControl w:val="false"/>
        <w:spacing w:line="6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>
      <w:pPr>
        <w:pStyle w:val="style0"/>
        <w:widowControl w:val="false"/>
        <w:spacing w:line="9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>
      <w:pPr>
        <w:pStyle w:val="style0"/>
        <w:jc w:val="both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lang w:val="sr-RS"/>
        </w:rPr>
        <w:t>Елементи критеријума понуђача: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1. – </w:t>
      </w:r>
      <w:r>
        <w:rPr>
          <w:rFonts w:ascii="Times New Roman" w:cs="Times New Roman" w:hAnsi="Times New Roman"/>
          <w:b/>
          <w:bCs/>
        </w:rPr>
        <w:t>РЕДОВАН ПРЕВЕНТИВНИ СЕРВИС БИОХЕМИЈСКОГ АНАЛИЗАТОРА „MINDRAY BS 3</w:t>
      </w:r>
      <w:r>
        <w:rPr>
          <w:rFonts w:ascii="Times New Roman" w:cs="Times New Roman" w:hAnsi="Times New Roman"/>
          <w:b/>
          <w:bCs/>
          <w:lang w:val="hu-HU"/>
        </w:rPr>
        <w:t>00</w:t>
      </w:r>
      <w:r>
        <w:rPr>
          <w:rFonts w:ascii="Times New Roman" w:cs="Times New Roman" w:hAnsi="Times New Roman"/>
          <w:b/>
          <w:bCs/>
        </w:rPr>
        <w:t>“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EUROMEDICINA“ DOO.,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21</w:t>
      </w:r>
      <w:r>
        <w:rPr>
          <w:rFonts w:ascii="Times New Roman" w:hAnsi="Times New Roman"/>
          <w:b/>
        </w:rPr>
        <w:t>5.000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2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плаћања: </w:t>
      </w:r>
      <w:r>
        <w:rPr>
          <w:rFonts w:ascii="Times New Roman" w:hAnsi="Times New Roman"/>
          <w:b/>
          <w:lang w:val="hu-HU"/>
        </w:rPr>
        <w:t xml:space="preserve">60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2. – </w:t>
      </w:r>
      <w:r>
        <w:rPr>
          <w:rFonts w:ascii="Times New Roman" w:hAnsi="Times New Roman"/>
          <w:b/>
          <w:bCs/>
        </w:rPr>
        <w:t>РЕДОВАН ПРЕВЕНТИВНИ СЕРВИС ХЕМАТОЛОШКОГ АНАЛИЗАТОРА „SISMEX KX21N“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„YUNICOM“ DOO.,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75.000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7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плаћања: </w:t>
      </w:r>
      <w:r>
        <w:rPr>
          <w:rFonts w:ascii="Times New Roman" w:hAnsi="Times New Roman"/>
          <w:b/>
          <w:lang w:val="hu-HU"/>
        </w:rPr>
        <w:t xml:space="preserve">60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  <w:t xml:space="preserve">ПАРТИЈА 5. - </w:t>
      </w:r>
      <w:r>
        <w:rPr>
          <w:rFonts w:ascii="Times New Roman" w:hAnsi="Times New Roman"/>
          <w:b/>
          <w:i/>
        </w:rPr>
        <w:t xml:space="preserve">.- </w:t>
      </w:r>
      <w:r>
        <w:rPr>
          <w:rFonts w:ascii="Times New Roman" w:hAnsi="Times New Roman"/>
          <w:b/>
          <w:bCs/>
        </w:rPr>
        <w:t>ПОПРАВКА ЦЕНТРИФУГЕ „JANEZKI“ T 150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„ENGEL“ DOO.,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199.980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извршења: 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t xml:space="preserve">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90</w:t>
      </w: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u w:val="single"/>
          <w:lang w:val="sr-RS"/>
        </w:rPr>
        <w:t xml:space="preserve">Назив понуђача са којим ће се закључити </w:t>
      </w:r>
      <w:r>
        <w:rPr>
          <w:b/>
          <w:i/>
          <w:u w:val="single"/>
        </w:rPr>
        <w:t xml:space="preserve">уговор и елементи уговора: 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1. – </w:t>
      </w:r>
      <w:r>
        <w:rPr>
          <w:rFonts w:ascii="Times New Roman" w:cs="Times New Roman" w:hAnsi="Times New Roman"/>
          <w:b/>
          <w:bCs/>
        </w:rPr>
        <w:t>РЕДОВАН ПРЕВЕНТИВНИ СЕРВИС БИОХЕМИЈСКОГ АНАЛИЗАТОРА „MINDRAY BS 3</w:t>
      </w:r>
      <w:r>
        <w:rPr>
          <w:rFonts w:ascii="Times New Roman" w:cs="Times New Roman" w:hAnsi="Times New Roman"/>
          <w:b/>
          <w:bCs/>
          <w:lang w:val="hu-HU"/>
        </w:rPr>
        <w:t>00</w:t>
      </w:r>
      <w:r>
        <w:rPr>
          <w:rFonts w:ascii="Times New Roman" w:cs="Times New Roman" w:hAnsi="Times New Roman"/>
          <w:b/>
          <w:bCs/>
        </w:rPr>
        <w:t>“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EUROMEDICINA“ DOO.,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21</w:t>
      </w:r>
      <w:r>
        <w:rPr>
          <w:rFonts w:ascii="Times New Roman" w:hAnsi="Times New Roman"/>
          <w:b/>
        </w:rPr>
        <w:t>5.000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2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плаћања: </w:t>
      </w:r>
      <w:r>
        <w:rPr>
          <w:rFonts w:ascii="Times New Roman" w:hAnsi="Times New Roman"/>
          <w:b/>
          <w:lang w:val="hu-HU"/>
        </w:rPr>
        <w:t xml:space="preserve">60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2. – </w:t>
      </w:r>
      <w:r>
        <w:rPr>
          <w:rFonts w:ascii="Times New Roman" w:hAnsi="Times New Roman"/>
          <w:b/>
          <w:bCs/>
        </w:rPr>
        <w:t>РЕДОВАН ПРЕВЕНТИВНИ СЕРВИС ХЕМАТОЛОШКОГ АНАЛИЗАТОРА „SISMEX KX21N“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„YUNICOM“ DOO.,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75.000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7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плаћања: </w:t>
      </w:r>
      <w:r>
        <w:rPr>
          <w:rFonts w:ascii="Times New Roman" w:hAnsi="Times New Roman"/>
          <w:b/>
          <w:lang w:val="hu-HU"/>
        </w:rPr>
        <w:t xml:space="preserve">60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  <w:t xml:space="preserve">ПАРТИЈА 5. - </w:t>
      </w:r>
      <w:r>
        <w:rPr>
          <w:rFonts w:ascii="Times New Roman" w:hAnsi="Times New Roman"/>
          <w:b/>
          <w:i/>
        </w:rPr>
        <w:t xml:space="preserve">.- </w:t>
      </w:r>
      <w:r>
        <w:rPr>
          <w:rFonts w:ascii="Times New Roman" w:hAnsi="Times New Roman"/>
          <w:b/>
          <w:bCs/>
        </w:rPr>
        <w:t>ПОПРАВКА ЦЕНТРИФУГЕ „JANEZKI“ T 150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„ENGEL“ DOO.,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199.980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извршења: 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t xml:space="preserve">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90</w:t>
      </w: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34"/>
        <w:ind w:hanging="0" w:left="1080" w:right="0"/>
        <w:jc w:val="both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2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b/>
    </w:rPr>
  </w:style>
  <w:style w:styleId="style23" w:type="character">
    <w:name w:val="ListLabel 4"/>
    <w:next w:val="style23"/>
    <w:rPr>
      <w:b/>
      <w:u w:val="single"/>
    </w:rPr>
  </w:style>
  <w:style w:styleId="style24" w:type="character">
    <w:name w:val="ListLabel 5"/>
    <w:next w:val="style24"/>
    <w:rPr>
      <w:b w:val="false"/>
    </w:rPr>
  </w:style>
  <w:style w:styleId="style25" w:type="character">
    <w:name w:val="ListLabel 6"/>
    <w:next w:val="style25"/>
    <w:rPr>
      <w:rFonts w:cs="Arial"/>
    </w:rPr>
  </w:style>
  <w:style w:styleId="style26" w:type="character">
    <w:name w:val="ListLabel 7"/>
    <w:next w:val="style26"/>
    <w:rPr>
      <w:rFonts w:cs="Times New Roman"/>
    </w:rPr>
  </w:style>
  <w:style w:styleId="style27" w:type="character">
    <w:name w:val="ListLabel 8"/>
    <w:next w:val="style27"/>
    <w:rPr>
      <w:rFonts w:cs="Times New Roman"/>
    </w:rPr>
  </w:style>
  <w:style w:styleId="style28" w:type="character">
    <w:name w:val="ListLabel 9"/>
    <w:next w:val="style28"/>
    <w:rPr>
      <w:b/>
      <w:u w:val="single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Paragraf"/>
    <w:basedOn w:val="style0"/>
    <w:next w:val="style37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38" w:type="paragraph">
    <w:name w:val="Listaszerű bekezdés1"/>
    <w:basedOn w:val="style0"/>
    <w:next w:val="style38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2017-06-14T10:40:00.00Z</dcterms:created>
  <dc:creator>..</dc:creator>
  <cp:lastModifiedBy>User</cp:lastModifiedBy>
  <cp:lastPrinted>2013-07-11T09:25:00.00Z</cp:lastPrinted>
  <dcterms:modified xsi:type="dcterms:W3CDTF">2017-06-14T10:40:00.00Z</dcterms:modified>
  <cp:revision>2</cp:revision>
  <dc:title>„DOM ZDRAVLJA“</dc:title>
</cp:coreProperties>
</file>