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 xml:space="preserve">ДОМ ЗДРАВЉА НОВИ КНЕЖЕВАЦ“      </w:t>
      </w:r>
      <w:r>
        <w:rPr>
          <w:b/>
        </w:rPr>
        <w:t xml:space="preserve">        </w:t>
        <w:tab/>
        <w:tab/>
        <w:tab/>
        <w:tab/>
        <w:tab/>
        <w:tab/>
      </w:r>
      <w:r>
        <w:rPr>
          <w:b/>
          <w:lang w:val="sr-RS"/>
        </w:rPr>
        <w:t>Јавна набавка ,</w:t>
      </w:r>
      <w:r>
        <w:rPr>
          <w:b/>
        </w:rPr>
        <w:t>мале вредности</w:t>
      </w:r>
    </w:p>
    <w:p>
      <w:pPr>
        <w:pStyle w:val="style0"/>
      </w:pPr>
      <w:r>
        <w:rPr>
          <w:b/>
          <w:lang w:val="sr-RS"/>
        </w:rPr>
        <w:t>Број:</w:t>
        <w:tab/>
        <w:t>05-01/</w:t>
      </w:r>
      <w:r>
        <w:rPr>
          <w:b/>
        </w:rPr>
        <w:t>23-15</w:t>
      </w:r>
      <w:r>
        <w:rPr>
          <w:b/>
          <w:lang w:val="sr-RS"/>
        </w:rPr>
        <w:tab/>
        <w:tab/>
        <w:tab/>
        <w:tab/>
        <w:t xml:space="preserve">          </w:t>
        <w:tab/>
        <w:tab/>
        <w:tab/>
        <w:tab/>
        <w:tab/>
        <w:tab/>
        <w:t xml:space="preserve">       </w:t>
      </w:r>
      <w:r>
        <w:rPr>
          <w:b/>
        </w:rPr>
        <w:t>6/2017.</w:t>
      </w:r>
      <w:r>
        <w:rPr>
          <w:b/>
          <w:lang w:val="sr-RS"/>
        </w:rPr>
        <w:t>–</w:t>
      </w:r>
      <w:r>
        <w:rPr>
          <w:b/>
        </w:rPr>
        <w:t>Лабораторијски материјали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06.10</w:t>
      </w:r>
      <w:r>
        <w:rPr>
          <w:b/>
          <w:lang w:val="sr-RS"/>
        </w:rPr>
        <w:t>.</w:t>
      </w:r>
      <w:r>
        <w:rPr>
          <w:b/>
        </w:rPr>
        <w:t>2017.</w:t>
      </w:r>
      <w:r>
        <w:rPr>
          <w:b/>
          <w:lang w:val="sr-RS"/>
        </w:rPr>
        <w:t xml:space="preserve"> године</w:t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6/2017 од </w:t>
      </w:r>
      <w:r>
        <w:rPr/>
        <w:t>06.10.2017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6/2017.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лабораторијских материјала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 xml:space="preserve">Јавна набавка мале вредности ради закључивања уговора – набавка лабораторијских материјала по партијама 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.05-01/23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21.09.2017.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>ЈН 6/2017</w:t>
      </w:r>
      <w:r>
        <w:rPr>
          <w:color w:val="000000"/>
        </w:rPr>
        <w:t>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22.09.2017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ЛАБОРАТОРИЈСКИХ МАТЕРИЈАЛА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bCs/>
        </w:rPr>
        <w:t>Назив и ознака из општег речника набавки:</w:t>
      </w:r>
      <w:r>
        <w:rPr>
          <w:b/>
          <w:lang w:val="sr-RS"/>
        </w:rPr>
        <w:t xml:space="preserve"> 33696500 – Лабораторијски реагенси</w:t>
      </w:r>
    </w:p>
    <w:tbl>
      <w:tblPr>
        <w:jc w:val="left"/>
        <w:tblInd w:type="dxa" w:w="-108"/>
        <w:tblBorders/>
      </w:tblPr>
      <w:tblGrid>
        <w:gridCol w:w="6"/>
      </w:tblGrid>
      <w:tr>
        <w:trPr>
          <w:cantSplit w:val="false"/>
        </w:trPr>
        <w:tc>
          <w:tcPr>
            <w:tcW w:type="dxa" w:w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2"/>
        <w:gridCol w:w="2"/>
      </w:tblGrid>
      <w:tr>
        <w:trPr>
          <w:cantSplit w:val="false"/>
        </w:trPr>
        <w:tc>
          <w:tcPr>
            <w:tcW w:type="dxa" w:w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7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jc w:val="both"/>
      </w:pPr>
      <w:r>
        <w:rPr>
          <w:b/>
        </w:rPr>
        <w:t>Процењена вредност набавке је 1.636.660,00динара без ПДВ.</w:t>
      </w:r>
    </w:p>
    <w:p>
      <w:pPr>
        <w:pStyle w:val="style0"/>
        <w:jc w:val="both"/>
      </w:pPr>
      <w:r>
        <w:rPr>
          <w:b/>
        </w:rPr>
        <w:t>Процењена вредност по партијама: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</w:rPr>
        <w:t>ПАРТИЈА 1 : ПРИБОР ЗА УЗИМАЊЕ КРВИ ЗА АНАЛИЗУ</w:t>
        <w:tab/>
        <w:tab/>
        <w:t>254.700,00</w:t>
      </w:r>
    </w:p>
    <w:p>
      <w:pPr>
        <w:pStyle w:val="style0"/>
      </w:pPr>
      <w:r>
        <w:rPr>
          <w:b/>
        </w:rPr>
        <w:t>ПАРТИЈА 2 : ХЕМАТОЛОШКИ БРОЈАЧ</w:t>
        <w:tab/>
        <w:tab/>
        <w:tab/>
        <w:tab/>
        <w:tab/>
        <w:t>216.900,00</w:t>
      </w:r>
    </w:p>
    <w:p>
      <w:pPr>
        <w:pStyle w:val="style0"/>
      </w:pPr>
      <w:r>
        <w:rPr>
          <w:b/>
        </w:rPr>
        <w:t>ПАРТИЈА 3:  ФИБРИНТАЈМЕР</w:t>
        <w:tab/>
        <w:tab/>
        <w:tab/>
        <w:tab/>
        <w:tab/>
        <w:tab/>
        <w:t>247.200,00</w:t>
      </w:r>
    </w:p>
    <w:p>
      <w:pPr>
        <w:pStyle w:val="style0"/>
      </w:pPr>
      <w:r>
        <w:rPr>
          <w:b/>
        </w:rPr>
        <w:t>ПАРТИЈА 4 : УРИН</w:t>
        <w:tab/>
        <w:tab/>
        <w:tab/>
        <w:tab/>
        <w:tab/>
        <w:tab/>
        <w:tab/>
        <w:tab/>
        <w:t xml:space="preserve">  30.100,00</w:t>
      </w:r>
    </w:p>
    <w:p>
      <w:pPr>
        <w:pStyle w:val="style0"/>
      </w:pPr>
      <w:r>
        <w:rPr>
          <w:b/>
        </w:rPr>
        <w:t>ПАРТИЈА5 :  ТЕСТ НА ОКУЛТНО КРВАРЕЊЕ У СТОЛИЦИ</w:t>
        <w:tab/>
        <w:tab/>
      </w:r>
      <w:bookmarkStart w:id="0" w:name="_GoBack"/>
      <w:bookmarkEnd w:id="0"/>
      <w:r>
        <w:rPr>
          <w:b/>
        </w:rPr>
        <w:t xml:space="preserve">  20.100,00</w:t>
      </w:r>
    </w:p>
    <w:p>
      <w:pPr>
        <w:pStyle w:val="style0"/>
      </w:pPr>
      <w:r>
        <w:rPr>
          <w:b/>
        </w:rPr>
        <w:t>ПАРТИЈА6 :  БИОХЕМИЈА</w:t>
        <w:tab/>
        <w:tab/>
        <w:tab/>
        <w:tab/>
        <w:tab/>
        <w:tab/>
        <w:tab/>
        <w:t>812.660,00</w:t>
      </w:r>
    </w:p>
    <w:p>
      <w:pPr>
        <w:pStyle w:val="style0"/>
      </w:pPr>
      <w:r>
        <w:rPr>
          <w:b/>
        </w:rPr>
        <w:t>ПАРТИЈА 7 : ПЛАСТИКА</w:t>
        <w:tab/>
        <w:tab/>
        <w:tab/>
        <w:tab/>
        <w:tab/>
        <w:tab/>
        <w:tab/>
        <w:t xml:space="preserve">  44.900,00</w:t>
      </w:r>
    </w:p>
    <w:p>
      <w:pPr>
        <w:pStyle w:val="style0"/>
      </w:pPr>
      <w:r>
        <w:rPr>
          <w:b/>
        </w:rPr>
        <w:t>ПАРТИЈА 8 : ХЕМИКАЛИЈЕ</w:t>
        <w:tab/>
        <w:tab/>
        <w:tab/>
        <w:tab/>
        <w:tab/>
        <w:tab/>
        <w:tab/>
        <w:t xml:space="preserve">  10.100,00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29"/>
        <w:ind w:firstLine="708" w:left="0" w:right="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ind w:hanging="0" w:left="360" w:right="0"/>
        <w:jc w:val="both"/>
      </w:pPr>
      <w:r>
        <w:rPr>
          <w:lang w:val="sr-RS"/>
        </w:rPr>
        <w:t xml:space="preserve">У поступку јавне набавке мале вредности Набавке </w:t>
      </w:r>
      <w:r>
        <w:rPr/>
        <w:t>лабораторијског материјала</w:t>
      </w:r>
      <w:r>
        <w:rPr>
          <w:lang w:val="sr-RS"/>
        </w:rPr>
        <w:t>. позвана су сви заинтересовани понуђачи објављивањем позива за достављање понуда на сајтуУЈН и на сајту Наручиоца.</w:t>
      </w:r>
    </w:p>
    <w:p>
      <w:pPr>
        <w:pStyle w:val="style29"/>
        <w:ind w:firstLine="708" w:left="0" w:right="0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седам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BEOCOMPAS“ DOO.,Звечанска 60/22, 11000 БЕОГРАД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VICOR“ DOO.,</w:t>
      </w:r>
      <w:r>
        <w:rPr>
          <w:rFonts w:ascii="Times New Roman" w:hAnsi="Times New Roman"/>
          <w:lang w:val="sr-RS"/>
        </w:rPr>
        <w:t xml:space="preserve"> , из Београда,  ул. Гоце Делчева 42.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ECO TRADE BG“ DOO., Страхинјића Бана 3., 18000 НИШ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INTERLAB EXIM“ DOO., Бирчанинова 19., 11000 БЕОГРАД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LAYON“ DOO.БЕОГРАД, Браће Југовића 7. 11000 БЕОГРАД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PROMEDIA“DOO.,Краља Петра 1. бр.114., 23300 КИКИНДА</w:t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SUPERLAB“ DOO., М.Миланковића 25., 11070 БЕОГРАД</w:t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b/>
          <w:lang w:val="sr-RS"/>
        </w:rPr>
        <w:t xml:space="preserve">3. Називи, односно имена понуђача чије су понуде одбијене и разлози за њихово одбијање: Понуђачи </w:t>
      </w:r>
      <w:r>
        <w:rPr>
          <w:lang w:val="sr-RS"/>
        </w:rPr>
        <w:t>„</w:t>
      </w:r>
      <w:r>
        <w:rPr/>
        <w:t xml:space="preserve">VICOR“ DOO., и </w:t>
      </w:r>
      <w:r>
        <w:rPr>
          <w:lang w:val="sr-RS"/>
        </w:rPr>
        <w:t>„</w:t>
      </w:r>
      <w:r>
        <w:rPr/>
        <w:t xml:space="preserve">LAYON“ DOO. су предали некомпетну тендерску документацију без понуђених цена за Партију бр. 1., те њихове понуде су </w:t>
      </w:r>
      <w:r>
        <w:rPr>
          <w:b/>
        </w:rPr>
        <w:t xml:space="preserve">НЕПРИХВАТЉИВЕ </w:t>
      </w:r>
      <w:r>
        <w:rPr/>
        <w:t>!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  <w:sz w:val="28"/>
          <w:szCs w:val="28"/>
        </w:rPr>
        <w:t>3. КРИТЕРИЈУМИ  И  ПОНДЕРИ  ЗА  ОЦЕЊИВАЊЕ ПОНУДА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</w:t>
      </w:r>
      <w:r>
        <w:rPr>
          <w:color w:val="000000"/>
        </w:rPr>
        <w:t>Нови Кнежевац</w:t>
      </w:r>
      <w:r>
        <w:rPr>
          <w:color w:val="000000"/>
          <w:lang w:val="sr-R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1./ ЦЕНА</w:t>
        <w:tab/>
        <w:tab/>
        <w:tab/>
        <w:tab/>
        <w:tab/>
        <w:tab/>
        <w:t>70пондера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2./ РОК ПЛАЋАЊА</w:t>
        <w:tab/>
        <w:tab/>
        <w:tab/>
        <w:tab/>
        <w:tab/>
        <w:t>10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3./ РОК ИСПОРУКЕ</w:t>
        <w:tab/>
        <w:tab/>
        <w:tab/>
        <w:tab/>
        <w:tab/>
        <w:t>10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4./ КВАЛИТЕТ</w:t>
        <w:tab/>
        <w:tab/>
        <w:tab/>
        <w:tab/>
        <w:tab/>
        <w:t>10 пондера</w:t>
      </w:r>
    </w:p>
    <w:p>
      <w:pPr>
        <w:pStyle w:val="style0"/>
        <w:pBdr>
          <w:bottom w:color="00000A" w:space="0" w:sz="12" w:val="single"/>
        </w:pBdr>
      </w:pPr>
      <w:r>
        <w:rPr/>
      </w:r>
    </w:p>
    <w:p>
      <w:pPr>
        <w:pStyle w:val="style0"/>
      </w:pPr>
      <w:r>
        <w:rPr>
          <w:b/>
          <w:lang w:val="sr-RS"/>
        </w:rPr>
        <w:t>УКУПНО:</w:t>
        <w:tab/>
        <w:tab/>
        <w:tab/>
        <w:tab/>
        <w:t>100 ПОНДЕРА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>___70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Најнижа коначна вредност понуде X максимални број поена (70 поена)</w:t>
      </w:r>
    </w:p>
    <w:p>
      <w:pPr>
        <w:pStyle w:val="style0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КРИТЕРИЈУМ2. – РОК ПЛАЋАЊА</w:t>
        <w:tab/>
        <w:t>________10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Најдужи рок плаћања...................................................10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следећи......................................................5 пондера мање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– РОК ИСПОРУКЕ</w:t>
        <w:tab/>
        <w:t xml:space="preserve">                  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Најкраћи рок испоруке................................................</w:t>
      </w:r>
      <w:r>
        <w:rPr/>
        <w:t>10</w:t>
      </w:r>
      <w:r>
        <w:rPr>
          <w:lang w:val="sr-RS"/>
        </w:rPr>
        <w:t>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следећи.....................................................5пондера мање</w:t>
      </w:r>
    </w:p>
    <w:p>
      <w:pPr>
        <w:pStyle w:val="style0"/>
      </w:pPr>
      <w:r>
        <w:rPr/>
      </w:r>
    </w:p>
    <w:p>
      <w:pPr>
        <w:pStyle w:val="style0"/>
      </w:pPr>
      <w:r>
        <w:rPr>
          <w:i/>
          <w:lang w:val="sr-RS"/>
        </w:rPr>
        <w:t>Рок испоруке мора бити изражен у данима.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4. – КВАЛИТЕТ</w:t>
        <w:tab/>
        <w:tab/>
        <w:tab/>
        <w:t xml:space="preserve">        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Критеријуми за оцену квалитета: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hAnsi="Times New Roman"/>
          <w:lang w:val="sr-RS"/>
        </w:rPr>
        <w:t xml:space="preserve">Сертификат о усаглашености система менаджмента квалитетом са захтевима стандарда </w:t>
      </w:r>
      <w:r>
        <w:rPr>
          <w:rFonts w:ascii="Times New Roman" w:hAnsi="Times New Roman"/>
        </w:rPr>
        <w:t>ISO 9001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hAnsi="Times New Roman"/>
          <w:lang w:val="sr-RS"/>
        </w:rPr>
        <w:t xml:space="preserve">Сертификат о усаглашености система менаджмента квалитетом са захтевима стандарда </w:t>
      </w:r>
      <w:r>
        <w:rPr>
          <w:rFonts w:ascii="Times New Roman" w:hAnsi="Times New Roman"/>
        </w:rPr>
        <w:t>ISO 13485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hAnsi="Times New Roman"/>
          <w:lang w:val="sr-RS"/>
        </w:rPr>
        <w:t xml:space="preserve">Сертификат о усаглашености система </w:t>
      </w:r>
      <w:r>
        <w:rPr>
          <w:rFonts w:ascii="Times New Roman" w:hAnsi="Times New Roman"/>
        </w:rPr>
        <w:t xml:space="preserve">управљања заштитом животне средине усаглашен </w:t>
      </w:r>
      <w:r>
        <w:rPr>
          <w:rFonts w:ascii="Times New Roman" w:hAnsi="Times New Roman"/>
          <w:lang w:val="sr-RS"/>
        </w:rPr>
        <w:t xml:space="preserve">са захтевима стандарда </w:t>
      </w:r>
      <w:r>
        <w:rPr>
          <w:rFonts w:ascii="Times New Roman" w:hAnsi="Times New Roman"/>
        </w:rPr>
        <w:t>ISO 14001</w:t>
      </w:r>
    </w:p>
    <w:p>
      <w:pPr>
        <w:pStyle w:val="style33"/>
        <w:numPr>
          <w:ilvl w:val="0"/>
          <w:numId w:val="3"/>
        </w:numPr>
      </w:pPr>
      <w:r>
        <w:rPr>
          <w:rFonts w:ascii="Times New Roman" w:hAnsi="Times New Roman"/>
          <w:lang w:val="sr-RS"/>
        </w:rPr>
        <w:t xml:space="preserve">Сертификат о усаглашености система управљања заштитом здравља и безбедности на раду са захтевима стандарда </w:t>
      </w:r>
      <w:r>
        <w:rPr>
          <w:rFonts w:ascii="Times New Roman" w:hAnsi="Times New Roman"/>
        </w:rPr>
        <w:t>OHSAS 18001</w:t>
      </w:r>
    </w:p>
    <w:p>
      <w:pPr>
        <w:pStyle w:val="style0"/>
        <w:ind w:hanging="0" w:left="360" w:right="0"/>
      </w:pPr>
      <w:r>
        <w:rPr>
          <w:i/>
          <w:sz w:val="28"/>
          <w:szCs w:val="28"/>
        </w:rPr>
        <w:t>Сертификати морају бити на српском језику и са роком важења у време подношења понуде и током периода трајања уговора.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i/>
          <w:sz w:val="28"/>
          <w:szCs w:val="28"/>
        </w:rPr>
        <w:tab/>
        <w:tab/>
      </w:r>
      <w:r>
        <w:rPr>
          <w:b/>
          <w:sz w:val="28"/>
          <w:szCs w:val="28"/>
        </w:rPr>
        <w:t>4 сертификата</w:t>
        <w:tab/>
        <w:tab/>
        <w:tab/>
        <w:tab/>
        <w:t>10 пондера</w:t>
      </w:r>
    </w:p>
    <w:p>
      <w:pPr>
        <w:pStyle w:val="style0"/>
        <w:ind w:hanging="0" w:left="360" w:right="0"/>
      </w:pPr>
      <w:r>
        <w:rPr>
          <w:b/>
          <w:sz w:val="28"/>
          <w:szCs w:val="28"/>
        </w:rPr>
        <w:tab/>
        <w:tab/>
        <w:t>3 сертификата</w:t>
        <w:tab/>
        <w:tab/>
        <w:tab/>
        <w:tab/>
        <w:t xml:space="preserve">  7 пондера</w:t>
      </w:r>
    </w:p>
    <w:p>
      <w:pPr>
        <w:pStyle w:val="style0"/>
        <w:ind w:hanging="0" w:left="360" w:right="0"/>
      </w:pPr>
      <w:r>
        <w:rPr>
          <w:b/>
          <w:sz w:val="28"/>
          <w:szCs w:val="28"/>
        </w:rPr>
        <w:tab/>
        <w:tab/>
        <w:t>2 сертификата</w:t>
        <w:tab/>
        <w:tab/>
        <w:tab/>
        <w:tab/>
        <w:t xml:space="preserve">  4 пондера</w:t>
      </w:r>
    </w:p>
    <w:p>
      <w:pPr>
        <w:pStyle w:val="style0"/>
        <w:ind w:hanging="0" w:left="360" w:right="0"/>
      </w:pPr>
      <w:r>
        <w:rPr>
          <w:b/>
          <w:sz w:val="28"/>
          <w:szCs w:val="28"/>
        </w:rPr>
        <w:tab/>
        <w:tab/>
        <w:t>1 сертификат</w:t>
        <w:tab/>
        <w:tab/>
        <w:tab/>
        <w:tab/>
        <w:t xml:space="preserve">  1 пондера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>
      <w:pPr>
        <w:pStyle w:val="style0"/>
        <w:widowControl w:val="false"/>
        <w:spacing w:line="9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>
      <w:pPr>
        <w:pStyle w:val="style0"/>
        <w:jc w:val="both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по понуђачу:</w:t>
      </w:r>
    </w:p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2622"/>
        <w:gridCol w:w="1959"/>
        <w:gridCol w:w="798"/>
        <w:gridCol w:w="964"/>
        <w:gridCol w:w="588"/>
        <w:gridCol w:w="1460"/>
        <w:gridCol w:w="588"/>
        <w:gridCol w:w="1653"/>
        <w:gridCol w:w="589"/>
        <w:gridCol w:w="1003"/>
      </w:tblGrid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PARTIJA BR.1 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Eco trade dooNiš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249.580,00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BR.2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Promediadoo Ki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216.830,00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BR.3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 jsertifikata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Interlab exim doo 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247.130,00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60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94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BR.4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Promediadoo Ki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29.040,00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61.90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 xml:space="preserve">     </w:t>
            </w: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 xml:space="preserve">91,90 p.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Superlab doo 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25.680,00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color w:val="00B0F0"/>
                <w:sz w:val="20"/>
                <w:szCs w:val="20"/>
              </w:rPr>
              <w:t>100 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BR.5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Beocompas doo 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sz w:val="20"/>
                <w:szCs w:val="20"/>
              </w:rPr>
              <w:t>20.090,00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65,16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95,16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Promedia doo Ki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18.700,00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 xml:space="preserve">70 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color w:val="00B0F0"/>
                <w:sz w:val="20"/>
                <w:szCs w:val="20"/>
              </w:rPr>
              <w:t>100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SuperlabdooBg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19.850,00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65,94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95,94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BR.6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Promedia doo Ki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812.290,00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BR.7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Promedia doo Ki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42.025,00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Superlab doo 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44.795,00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65,67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95,67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PARTIJA BR.8</w:t>
            </w:r>
          </w:p>
        </w:tc>
        <w:tc>
          <w:tcPr>
            <w:tcW w:type="dxa" w:w="1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95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 ponude</w:t>
            </w:r>
          </w:p>
        </w:tc>
        <w:tc>
          <w:tcPr>
            <w:tcW w:type="dxa" w:w="79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96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pl.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46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58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65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broj sertifikata</w:t>
            </w:r>
          </w:p>
        </w:tc>
        <w:tc>
          <w:tcPr>
            <w:tcW w:type="dxa" w:w="58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</w:t>
            </w:r>
          </w:p>
        </w:tc>
        <w:tc>
          <w:tcPr>
            <w:tcW w:type="dxa" w:w="100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62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sz w:val="20"/>
                <w:szCs w:val="20"/>
              </w:rPr>
              <w:t>Superlab doo Bg</w:t>
            </w:r>
          </w:p>
        </w:tc>
        <w:tc>
          <w:tcPr>
            <w:tcW w:type="dxa" w:w="195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12.519,00</w:t>
            </w:r>
          </w:p>
        </w:tc>
        <w:tc>
          <w:tcPr>
            <w:tcW w:type="dxa" w:w="79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type="dxa" w:w="96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46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58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65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58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100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B0F0"/>
                <w:sz w:val="20"/>
                <w:szCs w:val="20"/>
              </w:rPr>
              <w:t>100 P.</w:t>
            </w:r>
          </w:p>
        </w:tc>
      </w:tr>
    </w:tbl>
    <w:p>
      <w:pPr>
        <w:pStyle w:val="style0"/>
      </w:pPr>
      <w:r>
        <w:rPr/>
      </w:r>
    </w:p>
    <w:p>
      <w:pPr>
        <w:pStyle w:val="style33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Према изложеном, уговор за набавку лабораторијских материјала ће се закључити са следећим понуђачима:</w:t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Прибор за узимање крви за анал.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ECO TRADE BG“ DOO., Страхинјића Бана 3., 18000 НИШ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249.580,00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</w:rPr>
        <w:t>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Хематолошки бројач: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PROMEDIA“DOO.,Краља Петра 1. бр.114., 23300 КИКИНДА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216.830,00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Фибринтајмер</w:t>
      </w:r>
    </w:p>
    <w:p>
      <w:pPr>
        <w:pStyle w:val="style33"/>
        <w:ind w:firstLine="348" w:left="732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INTERLAB EXIM“ DOO., Бирчанинова 19., 11000 БЕОГРАД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247.130,00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60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33"/>
        <w:ind w:hanging="0" w:left="1080" w:right="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Урин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SUPERLAB“ DOO., М.Миланковића 25., 11070 БЕОГРАД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25.680,00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Тест за окултно крварење у столици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PROMEDIA“DOO.,Краља Петра 1. бр.114., 23300 КИКИНДА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18.700,00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Биохемија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PROMEDIA“DOO.,Краља Петра 1. бр.114., 23300 КИКИНДА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812.290,00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33"/>
        <w:ind w:hanging="0" w:left="1080" w:right="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Пластика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PROMEDIA“DOO.,Краља Петра 1. бр.114., 23300 КИКИНДА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812.290,00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33"/>
        <w:ind w:hanging="0" w:left="1080" w:right="0"/>
      </w:pPr>
      <w:r>
        <w:rPr/>
      </w:r>
    </w:p>
    <w:p>
      <w:pPr>
        <w:pStyle w:val="style33"/>
        <w:ind w:hanging="0" w:left="1080" w:right="0"/>
      </w:pPr>
      <w:r>
        <w:rPr/>
      </w:r>
    </w:p>
    <w:p>
      <w:pPr>
        <w:pStyle w:val="style33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ПАРТИЈА - Хемикалије</w:t>
      </w:r>
    </w:p>
    <w:p>
      <w:pPr>
        <w:pStyle w:val="style33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SUPERLAB“ DOO., М.Миланковића 25., 11070 БЕОГРАД</w:t>
      </w:r>
    </w:p>
    <w:p>
      <w:pPr>
        <w:pStyle w:val="style33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25.680,00 динара без ПДВ.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3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29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</w:t>
        <w:tab/>
        <w:tab/>
        <w:tab/>
        <w:tab/>
        <w:tab/>
        <w:tab/>
        <w:t xml:space="preserve">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</w:t>
        <w:tab/>
        <w:tab/>
        <w:tab/>
        <w:tab/>
        <w:tab/>
        <w:tab/>
        <w:t xml:space="preserve">        Др Рената Миклош</w:t>
      </w:r>
    </w:p>
    <w:sectPr>
      <w:footerReference r:id="rId2" w:type="default"/>
      <w:type w:val="nextPage"/>
      <w:pgSz w:h="11906" w:orient="landscape" w:w="16838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5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>
      <w:b/>
      <w:u w:val="single"/>
    </w:rPr>
  </w:style>
  <w:style w:styleId="style25" w:type="character">
    <w:name w:val="ListLabel 5"/>
    <w:next w:val="style25"/>
    <w:rPr>
      <w:b w:val="false"/>
    </w:rPr>
  </w:style>
  <w:style w:styleId="style26" w:type="character">
    <w:name w:val="ListLabel 6"/>
    <w:next w:val="style26"/>
    <w:rPr>
      <w:rFonts w:cs="Arial"/>
    </w:rPr>
  </w:style>
  <w:style w:styleId="style27" w:type="character">
    <w:name w:val="ListLabel 7"/>
    <w:next w:val="style27"/>
    <w:rPr>
      <w:rFonts w:cs="Times New Roman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9" w:type="paragraph">
    <w:name w:val="Text body"/>
    <w:basedOn w:val="style0"/>
    <w:next w:val="style29"/>
    <w:pPr>
      <w:jc w:val="both"/>
    </w:pPr>
    <w:rPr>
      <w:rFonts w:ascii="Arial" w:hAnsi="Arial"/>
      <w:szCs w:val="20"/>
      <w:lang w:val="hr-HR"/>
    </w:rPr>
  </w:style>
  <w:style w:styleId="style30" w:type="paragraph">
    <w:name w:val="List"/>
    <w:basedOn w:val="style29"/>
    <w:next w:val="style30"/>
    <w:pPr/>
    <w:rPr>
      <w:rFonts w:cs="Lohit Hind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ohit Hindi"/>
    </w:rPr>
  </w:style>
  <w:style w:styleId="style33" w:type="paragraph">
    <w:name w:val="List Paragraph"/>
    <w:basedOn w:val="style0"/>
    <w:next w:val="style33"/>
    <w:pPr>
      <w:ind w:hanging="0" w:left="720" w:right="0"/>
    </w:pPr>
    <w:rPr>
      <w:rFonts w:ascii="Arial" w:hAnsi="Arial"/>
    </w:rPr>
  </w:style>
  <w:style w:styleId="style34" w:type="paragraph">
    <w:name w:val="Header"/>
    <w:basedOn w:val="style0"/>
    <w:next w:val="style34"/>
    <w:pPr>
      <w:suppressLineNumbers/>
      <w:tabs>
        <w:tab w:leader="none" w:pos="4536" w:val="center"/>
        <w:tab w:leader="none" w:pos="9072" w:val="right"/>
      </w:tabs>
    </w:pPr>
    <w:rPr/>
  </w:style>
  <w:style w:styleId="style35" w:type="paragraph">
    <w:name w:val="Foot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Paragraf"/>
    <w:basedOn w:val="style0"/>
    <w:next w:val="style36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37" w:type="paragraph">
    <w:name w:val="Listaszerű bekezdés1"/>
    <w:basedOn w:val="style0"/>
    <w:next w:val="style37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  <w:style w:styleId="style38" w:type="paragraph">
    <w:name w:val="Balloon Text"/>
    <w:basedOn w:val="style0"/>
    <w:next w:val="style38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2017-10-05T11:27:00.00Z</dcterms:created>
  <dc:creator>..</dc:creator>
  <cp:lastModifiedBy>User</cp:lastModifiedBy>
  <cp:lastPrinted>2013-07-11T09:25:00.00Z</cp:lastPrinted>
  <dcterms:modified xsi:type="dcterms:W3CDTF">2017-10-06T06:37:00.00Z</dcterms:modified>
  <cp:revision>3</cp:revision>
  <dc:title>„DOM ZDRAVLJA“</dc:title>
</cp:coreProperties>
</file>