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>ДОМ ЗДРАВЉА НОВИ КНЕЖЕВАЦ“ 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05-01/21-9</w:t>
      </w:r>
      <w:r>
        <w:rPr>
          <w:b/>
          <w:lang w:val="sr-RS"/>
        </w:rPr>
        <w:tab/>
        <w:tab/>
        <w:tab/>
        <w:tab/>
        <w:t xml:space="preserve">         </w:t>
        <w:tab/>
        <w:t xml:space="preserve">         </w:t>
      </w:r>
      <w:r>
        <w:rPr>
          <w:b/>
        </w:rPr>
        <w:t>2/2018. – Набавка горива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11.06.2018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2/2018.</w:t>
      </w:r>
      <w:r>
        <w:rPr>
          <w:lang w:val="sr-RS"/>
        </w:rPr>
        <w:t xml:space="preserve"> од </w:t>
      </w:r>
      <w:r>
        <w:rPr/>
        <w:t>08.06.2018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</w:t>
      </w:r>
      <w:r>
        <w:rPr>
          <w:b/>
        </w:rPr>
        <w:t>додели уговора за</w:t>
      </w:r>
      <w:r>
        <w:rPr>
          <w:b/>
          <w:lang w:val="sr-RS"/>
        </w:rPr>
        <w:t xml:space="preserve"> Јавну набавку мале вредности </w:t>
      </w:r>
      <w:r>
        <w:rPr>
          <w:b/>
        </w:rPr>
        <w:t>2/2018.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горива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ind w:firstLine="348" w:left="360" w:right="0"/>
        <w:jc w:val="both"/>
      </w:pPr>
      <w:r>
        <w:rPr>
          <w:b/>
          <w:i/>
          <w:lang w:val="sr-RS"/>
        </w:rPr>
        <w:t>Јавна набавка мале вредности - набавка горива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покретања: </w:t>
      </w:r>
      <w:r>
        <w:rPr/>
        <w:t>05-01/21</w:t>
      </w:r>
      <w:r>
        <w:rPr>
          <w:lang w:val="sr-RS"/>
        </w:rPr>
        <w:t xml:space="preserve">. од </w:t>
      </w:r>
      <w:r>
        <w:rPr/>
        <w:t>29.05.2018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  <w:lang w:val="sr-R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RS"/>
        </w:rPr>
        <w:t>а</w:t>
      </w:r>
      <w:r>
        <w:rPr>
          <w:b/>
          <w:u w:val="single"/>
        </w:rPr>
        <w:t xml:space="preserve"> вредност</w:t>
      </w:r>
      <w:r>
        <w:rPr>
          <w:b/>
          <w:u w:val="single"/>
          <w:lang w:val="sr-RS"/>
        </w:rPr>
        <w:t xml:space="preserve"> јавне набавке</w:t>
      </w:r>
      <w:r>
        <w:rPr>
          <w:lang w:val="sr-RS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Процењена вредност набавке</w:t>
      </w:r>
      <w:r>
        <w:rPr>
          <w:lang w:val="hr-HR"/>
        </w:rPr>
        <w:t xml:space="preserve">: </w:t>
      </w:r>
      <w:r>
        <w:rPr/>
        <w:t>1.916.666,00</w:t>
      </w:r>
      <w:r>
        <w:rPr>
          <w:lang w:val="hr-HR"/>
        </w:rPr>
        <w:t xml:space="preserve"> </w:t>
      </w:r>
      <w:r>
        <w:rPr/>
        <w:t>динара без ПДВ</w:t>
      </w:r>
      <w:r>
        <w:rPr>
          <w:lang w:val="hr-HR"/>
        </w:rPr>
        <w:t>.</w:t>
      </w:r>
    </w:p>
    <w:p>
      <w:pPr>
        <w:pStyle w:val="style0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>
          <w:lang w:val="sr-RS"/>
        </w:rPr>
        <w:t>У поступку јавне набавке мале вредности Набавке</w:t>
      </w:r>
      <w:r>
        <w:rPr/>
        <w:t xml:space="preserve"> горива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три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 xml:space="preserve">е 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 xml:space="preserve"> „</w:t>
      </w:r>
      <w:r>
        <w:rPr>
          <w:rFonts w:ascii="Times New Roman" w:hAnsi="Times New Roman"/>
        </w:rPr>
        <w:t>NIS a.d. Blok promet Zrenjanin“ Београдска 26.,23000 ЗРЕЊАНИН</w:t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DOO EURO PETROL Subotica, Отмара Мајера 6., 24000 СУБОТИЦА</w:t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RADUN AVIA“ DOO. Novi Sad, Пут Шајкашког одреда 2а., 21000 НОВИ САД</w:t>
      </w:r>
    </w:p>
    <w:p>
      <w:pPr>
        <w:pStyle w:val="style34"/>
        <w:ind w:hanging="0" w:left="360" w:right="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/>
      </w:r>
    </w:p>
    <w:p>
      <w:pPr>
        <w:pStyle w:val="style34"/>
        <w:numPr>
          <w:ilvl w:val="0"/>
          <w:numId w:val="2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Називи, односно имена понуђача чије су понуде одбијене и разлози за њихово одбијање: нема</w:t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Нови Кнежевац ће доделити уговор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  <w:r>
        <w:rPr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lang w:val="sr-RS"/>
        </w:rPr>
        <w:t>1./ ЦЕНА</w:t>
        <w:tab/>
        <w:tab/>
        <w:tab/>
        <w:tab/>
        <w:tab/>
        <w:tab/>
      </w:r>
      <w:r>
        <w:rPr/>
        <w:t>7</w:t>
      </w:r>
      <w:r>
        <w:rPr>
          <w:lang w:val="sr-RS"/>
        </w:rPr>
        <w:t>0 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2./ ЛОКАЦИЈА ЦРПНИХ СТАНИЦА</w:t>
        <w:tab/>
        <w:tab/>
        <w:t>20 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3./ РОК ПЛАЋАЊА</w:t>
        <w:tab/>
        <w:tab/>
        <w:tab/>
        <w:tab/>
        <w:tab/>
        <w:t>10 пондера</w:t>
      </w:r>
    </w:p>
    <w:p>
      <w:pPr>
        <w:pStyle w:val="style0"/>
      </w:pPr>
      <w:r>
        <w:rPr>
          <w:b/>
          <w:lang w:val="sr-RS"/>
        </w:rPr>
        <w:t>УКУПНО:</w:t>
        <w:tab/>
        <w:tab/>
        <w:tab/>
        <w:tab/>
      </w:r>
      <w:r>
        <w:rPr>
          <w:b/>
        </w:rPr>
        <w:tab/>
        <w:t xml:space="preserve">          </w:t>
      </w:r>
      <w:r>
        <w:rPr>
          <w:b/>
          <w:lang w:val="sr-RS"/>
        </w:rPr>
        <w:t>100 ПОНДЕРА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1. – ЦЕНА</w:t>
        <w:tab/>
        <w:tab/>
        <w:tab/>
        <w:tab/>
      </w:r>
      <w:r>
        <w:rPr>
          <w:b/>
          <w:u w:val="single"/>
        </w:rPr>
        <w:t>7</w:t>
      </w:r>
      <w:r>
        <w:rPr>
          <w:b/>
          <w:u w:val="single"/>
          <w:lang w:val="sr-RS"/>
        </w:rPr>
        <w:t>0 пондера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Најнижа коначна вредност понуде X максимални број поена (</w:t>
      </w:r>
      <w:r>
        <w:rPr>
          <w:b/>
          <w:u w:val="single"/>
        </w:rPr>
        <w:t>7</w:t>
      </w:r>
      <w:r>
        <w:rPr>
          <w:b/>
          <w:u w:val="single"/>
          <w:lang w:val="sr-RS"/>
        </w:rPr>
        <w:t>0 поена)</w:t>
      </w:r>
    </w:p>
    <w:p>
      <w:pPr>
        <w:pStyle w:val="style0"/>
      </w:pPr>
      <w:r>
        <w:rPr>
          <w:lang w:val="sr-RS"/>
        </w:rPr>
        <w:tab/>
        <w:tab/>
        <w:t xml:space="preserve">     понуђена коначна вредност понуде</w:t>
      </w:r>
    </w:p>
    <w:p>
      <w:pPr>
        <w:pStyle w:val="style34"/>
      </w:pPr>
      <w:r>
        <w:rPr/>
      </w:r>
    </w:p>
    <w:p>
      <w:pPr>
        <w:pStyle w:val="style0"/>
      </w:pPr>
      <w:r>
        <w:rPr/>
      </w:r>
    </w:p>
    <w:p>
      <w:pPr>
        <w:pStyle w:val="style34"/>
        <w:ind w:hanging="0" w:left="0" w:right="0"/>
      </w:pPr>
      <w:r>
        <w:rPr>
          <w:rFonts w:ascii="Times New Roman" w:hAnsi="Times New Roman"/>
          <w:b/>
          <w:sz w:val="22"/>
          <w:szCs w:val="22"/>
          <w:u w:val="single"/>
          <w:lang w:val="sr-RS"/>
        </w:rPr>
        <w:t>KРИТЕРИЈУМ 2. – ЛОКАЦИЈА ЦРПНИХ СТАНИЦА     20 пондера</w:t>
      </w:r>
    </w:p>
    <w:p>
      <w:pPr>
        <w:pStyle w:val="style34"/>
        <w:ind w:hanging="0" w:left="0" w:right="0"/>
      </w:pPr>
      <w:r>
        <w:rPr/>
      </w:r>
    </w:p>
    <w:p>
      <w:pPr>
        <w:pStyle w:val="style0"/>
      </w:pPr>
      <w:r>
        <w:rPr>
          <w:lang w:val="sr-RS"/>
        </w:rPr>
        <w:t>Црпна станица у кругу од 3 км...................................................20 пондера</w:t>
      </w:r>
    </w:p>
    <w:p>
      <w:pPr>
        <w:pStyle w:val="style0"/>
      </w:pPr>
      <w:r>
        <w:rPr>
          <w:lang w:val="sr-RS"/>
        </w:rPr>
        <w:t xml:space="preserve">Црпна станица у кругу од </w:t>
      </w:r>
      <w:r>
        <w:rPr/>
        <w:t>3-</w:t>
      </w:r>
      <w:r>
        <w:rPr>
          <w:lang w:val="sr-RS"/>
        </w:rPr>
        <w:t>10 км..............................................</w:t>
      </w:r>
      <w:r>
        <w:rPr/>
        <w:t>15</w:t>
      </w:r>
      <w:r>
        <w:rPr>
          <w:lang w:val="sr-RS"/>
        </w:rPr>
        <w:t xml:space="preserve"> пондера</w:t>
      </w:r>
    </w:p>
    <w:p>
      <w:pPr>
        <w:pStyle w:val="style0"/>
      </w:pPr>
      <w:r>
        <w:rPr>
          <w:lang w:val="sr-RS"/>
        </w:rPr>
        <w:t xml:space="preserve">Црпна станица у кругу од </w:t>
      </w:r>
      <w:r>
        <w:rPr/>
        <w:t>10-</w:t>
      </w:r>
      <w:r>
        <w:rPr>
          <w:lang w:val="sr-RS"/>
        </w:rPr>
        <w:t>15 км............................................</w:t>
      </w:r>
      <w:r>
        <w:rPr/>
        <w:t>10</w:t>
      </w:r>
      <w:r>
        <w:rPr>
          <w:lang w:val="sr-RS"/>
        </w:rPr>
        <w:t xml:space="preserve">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3. – РОК ПЛАЋАЊА</w:t>
        <w:tab/>
        <w:t>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Најдужи рок плаћања.........................................................10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</w:rPr>
        <w:t>ДВЕ ИЛИ ВИШЕ ПОНУДА СА ИСТ</w:t>
      </w:r>
      <w:r>
        <w:rPr>
          <w:b/>
          <w:lang w:val="sr-RS"/>
        </w:rPr>
        <w:t>ИМ БРОЈЕМ ПОНДЕРА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  <w:t xml:space="preserve">Уколико, две или више понуда имају исти </w:t>
      </w:r>
      <w:r>
        <w:rPr>
          <w:lang w:val="sr-RS"/>
        </w:rPr>
        <w:t>број пондера</w:t>
      </w:r>
      <w:r>
        <w:rPr/>
        <w:t xml:space="preserve">, предност ће се дати понуђачу који понуди </w:t>
      </w:r>
      <w:r>
        <w:rPr>
          <w:lang w:val="sr-RS"/>
        </w:rPr>
        <w:t xml:space="preserve">нижу цену.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 по понуђачу :</w:t>
      </w:r>
    </w:p>
    <w:p>
      <w:pPr>
        <w:pStyle w:val="style0"/>
        <w:jc w:val="both"/>
      </w:pPr>
      <w:r>
        <w:rPr/>
      </w:r>
    </w:p>
    <w:p>
      <w:pPr>
        <w:pStyle w:val="style34"/>
        <w:numPr>
          <w:ilvl w:val="0"/>
          <w:numId w:val="3"/>
        </w:numPr>
        <w:jc w:val="both"/>
      </w:pPr>
      <w:r>
        <w:rPr>
          <w:rFonts w:ascii="Times New Roman" w:hAnsi="Times New Roman"/>
          <w:b/>
          <w:i/>
          <w:sz w:val="28"/>
          <w:szCs w:val="28"/>
          <w:lang w:val="sr-RS"/>
        </w:rPr>
        <w:t xml:space="preserve"> „</w:t>
      </w:r>
      <w:r>
        <w:rPr>
          <w:rFonts w:ascii="Times New Roman" w:hAnsi="Times New Roman"/>
          <w:b/>
          <w:i/>
          <w:sz w:val="28"/>
          <w:szCs w:val="28"/>
        </w:rPr>
        <w:t>NIS a.d. Blok promet Zrenjanin“ Београдска 26.,23000 ЗРЕЊАНИН</w:t>
      </w:r>
    </w:p>
    <w:p>
      <w:pPr>
        <w:pStyle w:val="style34"/>
        <w:jc w:val="both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48"/>
        <w:gridCol w:w="1926"/>
        <w:gridCol w:w="1487"/>
        <w:gridCol w:w="2009"/>
        <w:gridCol w:w="2642"/>
      </w:tblGrid>
      <w:tr>
        <w:trPr>
          <w:cantSplit w:val="true"/>
        </w:trPr>
        <w:tc>
          <w:tcPr>
            <w:tcW w:type="dxa" w:w="17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92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0" w:name="__DdeLink__716_1943306173"/>
            <w:bookmarkEnd w:id="0"/>
            <w:r>
              <w:rPr>
                <w:bCs/>
              </w:rPr>
              <w:t>Количина за 12 месеци</w:t>
            </w:r>
          </w:p>
        </w:tc>
        <w:tc>
          <w:tcPr>
            <w:tcW w:type="dxa" w:w="148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20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26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74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</w:t>
            </w:r>
          </w:p>
          <w:p>
            <w:pPr>
              <w:pStyle w:val="style0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бензин</w:t>
            </w:r>
          </w:p>
        </w:tc>
        <w:tc>
          <w:tcPr>
            <w:tcW w:type="dxa" w:w="192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4100 л.</w:t>
            </w:r>
          </w:p>
        </w:tc>
        <w:tc>
          <w:tcPr>
            <w:tcW w:type="dxa" w:w="14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126,00 дин</w:t>
            </w:r>
          </w:p>
        </w:tc>
        <w:tc>
          <w:tcPr>
            <w:tcW w:type="dxa" w:w="20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 xml:space="preserve">516.600,00  </w:t>
            </w:r>
            <w:r>
              <w:rPr>
                <w:bCs/>
                <w:sz w:val="20"/>
                <w:szCs w:val="20"/>
              </w:rPr>
              <w:t>дин.</w:t>
            </w:r>
          </w:p>
        </w:tc>
        <w:tc>
          <w:tcPr>
            <w:tcW w:type="dxa" w:w="264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619.920,00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1"/>
        <w:gridCol w:w="1536"/>
        <w:gridCol w:w="2298"/>
        <w:gridCol w:w="2339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53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22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23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10600 л.</w:t>
            </w:r>
          </w:p>
        </w:tc>
        <w:tc>
          <w:tcPr>
            <w:tcW w:type="dxa" w:w="153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132,00 дин.</w:t>
            </w:r>
          </w:p>
        </w:tc>
        <w:tc>
          <w:tcPr>
            <w:tcW w:type="dxa" w:w="229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1.399.200,00 дин.</w:t>
            </w:r>
          </w:p>
        </w:tc>
        <w:tc>
          <w:tcPr>
            <w:tcW w:type="dxa" w:w="233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1.679.040,00 дин.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3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30 дана</w:t>
      </w:r>
    </w:p>
    <w:p>
      <w:pPr>
        <w:pStyle w:val="style0"/>
      </w:pPr>
      <w:r>
        <w:rPr/>
      </w:r>
    </w:p>
    <w:p>
      <w:pPr>
        <w:pStyle w:val="style34"/>
        <w:ind w:hanging="0" w:left="360" w:right="0"/>
        <w:jc w:val="both"/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„DOO EURO PETROL Subotica, Отмара Мајера 6., 24000 СУБОТИЦА</w:t>
      </w:r>
    </w:p>
    <w:p>
      <w:pPr>
        <w:pStyle w:val="style34"/>
        <w:ind w:hanging="0" w:left="360" w:right="0"/>
        <w:jc w:val="both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982"/>
        <w:gridCol w:w="1706"/>
        <w:gridCol w:w="1651"/>
        <w:gridCol w:w="1992"/>
        <w:gridCol w:w="2467"/>
      </w:tblGrid>
      <w:tr>
        <w:trPr>
          <w:cantSplit w:val="true"/>
        </w:trPr>
        <w:tc>
          <w:tcPr>
            <w:tcW w:type="dxa" w:w="198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7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65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9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24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</w:t>
            </w:r>
          </w:p>
          <w:p>
            <w:pPr>
              <w:pStyle w:val="style0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бензин</w:t>
            </w:r>
          </w:p>
        </w:tc>
        <w:tc>
          <w:tcPr>
            <w:tcW w:type="dxa" w:w="1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4100 л.</w:t>
            </w:r>
          </w:p>
        </w:tc>
        <w:tc>
          <w:tcPr>
            <w:tcW w:type="dxa" w:w="165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118,92  дин.</w:t>
            </w:r>
          </w:p>
        </w:tc>
        <w:tc>
          <w:tcPr>
            <w:tcW w:type="dxa" w:w="19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487.572,00 дин.</w:t>
            </w:r>
          </w:p>
        </w:tc>
        <w:tc>
          <w:tcPr>
            <w:tcW w:type="dxa" w:w="246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585.086,40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1"/>
        <w:gridCol w:w="1659"/>
        <w:gridCol w:w="2161"/>
        <w:gridCol w:w="2353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6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21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235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10600 л.</w:t>
            </w:r>
          </w:p>
        </w:tc>
        <w:tc>
          <w:tcPr>
            <w:tcW w:type="dxa" w:w="16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127,00 дин.</w:t>
            </w:r>
          </w:p>
        </w:tc>
        <w:tc>
          <w:tcPr>
            <w:tcW w:type="dxa" w:w="21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1.346.200,00 дин.</w:t>
            </w:r>
          </w:p>
        </w:tc>
        <w:tc>
          <w:tcPr>
            <w:tcW w:type="dxa" w:w="235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1.615.440,00 дин.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6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46 дана</w:t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RADUN AVIA“ DOO. Novi Sad, Пут Шајкашког одреда 2а., 21000 НОВИ САД</w:t>
      </w:r>
    </w:p>
    <w:p>
      <w:pPr>
        <w:pStyle w:val="style0"/>
      </w:pPr>
      <w:r>
        <w:rPr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940"/>
        <w:gridCol w:w="1748"/>
        <w:gridCol w:w="1569"/>
        <w:gridCol w:w="1995"/>
        <w:gridCol w:w="2175"/>
      </w:tblGrid>
      <w:tr>
        <w:trPr>
          <w:cantSplit w:val="true"/>
        </w:trPr>
        <w:tc>
          <w:tcPr>
            <w:tcW w:type="dxa" w:w="19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7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5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9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217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9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 xml:space="preserve">Безоловни </w:t>
            </w:r>
          </w:p>
          <w:p>
            <w:pPr>
              <w:pStyle w:val="style0"/>
            </w:pPr>
            <w:r>
              <w:rPr>
                <w:b/>
                <w:bCs/>
              </w:rPr>
              <w:t>бензин</w:t>
            </w:r>
          </w:p>
        </w:tc>
        <w:tc>
          <w:tcPr>
            <w:tcW w:type="dxa" w:w="174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4100 л.</w:t>
            </w:r>
          </w:p>
        </w:tc>
        <w:tc>
          <w:tcPr>
            <w:tcW w:type="dxa" w:w="15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119,50 дин.</w:t>
            </w:r>
          </w:p>
        </w:tc>
        <w:tc>
          <w:tcPr>
            <w:tcW w:type="dxa" w:w="1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489.950,00 дин.</w:t>
            </w:r>
          </w:p>
        </w:tc>
        <w:tc>
          <w:tcPr>
            <w:tcW w:type="dxa" w:w="217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587.940,00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tbl>
      <w:tblPr>
        <w:jc w:val="left"/>
        <w:tblInd w:type="dxa" w:w="-7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750"/>
        <w:gridCol w:w="1597"/>
        <w:gridCol w:w="2091"/>
        <w:gridCol w:w="2188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7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59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209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21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7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  <w:t>10600 л.</w:t>
            </w:r>
          </w:p>
        </w:tc>
        <w:tc>
          <w:tcPr>
            <w:tcW w:type="dxa" w:w="159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127,42 дин.</w:t>
            </w:r>
          </w:p>
        </w:tc>
        <w:tc>
          <w:tcPr>
            <w:tcW w:type="dxa" w:w="209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1.350.652,00дин.</w:t>
            </w:r>
          </w:p>
        </w:tc>
        <w:tc>
          <w:tcPr>
            <w:tcW w:type="dxa" w:w="218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1.620.740,00 дин.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numPr>
          <w:ilvl w:val="0"/>
          <w:numId w:val="4"/>
        </w:numPr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5,8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4"/>
        </w:numPr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47 дана</w:t>
      </w:r>
    </w:p>
    <w:p>
      <w:pPr>
        <w:pStyle w:val="style34"/>
      </w:pPr>
      <w:r>
        <w:rPr/>
      </w:r>
    </w:p>
    <w:p>
      <w:pPr>
        <w:pStyle w:val="style34"/>
      </w:pPr>
      <w:r>
        <w:rPr/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Пондерисање: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sz w:val="28"/>
          <w:szCs w:val="28"/>
          <w:u w:val="single"/>
          <w:lang w:val="sr-RS"/>
        </w:rPr>
        <w:t>„</w:t>
      </w:r>
      <w:r>
        <w:rPr>
          <w:b/>
          <w:i/>
          <w:sz w:val="28"/>
          <w:szCs w:val="28"/>
          <w:u w:val="single"/>
        </w:rPr>
        <w:t>NIS a.d. Blok promet Zrenjanin“ Београдска 26.,23000 ЗРЕЊАНИН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66,07  пондера</w:t>
      </w:r>
    </w:p>
    <w:p>
      <w:pPr>
        <w:pStyle w:val="style0"/>
        <w:jc w:val="both"/>
      </w:pPr>
      <w:r>
        <w:rPr/>
        <w:t xml:space="preserve">Локација црпних станица:          </w:t>
      </w:r>
      <w:r>
        <w:rPr>
          <w:b/>
        </w:rPr>
        <w:t>20,00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</w:t>
      </w:r>
      <w:r>
        <w:rPr>
          <w:b/>
          <w:u w:val="single"/>
        </w:rPr>
        <w:t>6,00 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 xml:space="preserve">          92,07 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67,35  пондера</w:t>
      </w:r>
    </w:p>
    <w:p>
      <w:pPr>
        <w:pStyle w:val="style0"/>
        <w:jc w:val="both"/>
      </w:pPr>
      <w:r>
        <w:rPr/>
        <w:t xml:space="preserve">Локација црпних станица:          </w:t>
      </w:r>
      <w:r>
        <w:rPr>
          <w:b/>
        </w:rPr>
        <w:t>20,00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 </w:t>
      </w:r>
      <w:r>
        <w:rPr>
          <w:b/>
          <w:u w:val="single"/>
        </w:rPr>
        <w:t>6,00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 xml:space="preserve">           93,35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u w:val="single"/>
        </w:rPr>
        <w:t>„</w:t>
      </w:r>
      <w:r>
        <w:rPr>
          <w:b/>
          <w:i/>
          <w:u w:val="single"/>
        </w:rPr>
        <w:t>DOO EURO PETROL Subotica, Отмара Мајера 6., 24000 СУБОТИЦА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70,00  пондера</w:t>
      </w:r>
    </w:p>
    <w:p>
      <w:pPr>
        <w:pStyle w:val="style0"/>
        <w:jc w:val="both"/>
      </w:pPr>
      <w:r>
        <w:rPr/>
        <w:t xml:space="preserve">Локација црпних станица:         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 </w:t>
      </w:r>
      <w:r>
        <w:rPr>
          <w:b/>
          <w:u w:val="single"/>
        </w:rPr>
        <w:t>8,00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 xml:space="preserve">           93,00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70,00  пондера</w:t>
      </w:r>
    </w:p>
    <w:p>
      <w:pPr>
        <w:pStyle w:val="style0"/>
        <w:jc w:val="both"/>
      </w:pPr>
      <w:r>
        <w:rPr/>
        <w:t xml:space="preserve">Локација црпних станица:         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 xml:space="preserve">             </w:t>
      </w:r>
      <w:r>
        <w:rPr>
          <w:b/>
          <w:u w:val="single"/>
        </w:rPr>
        <w:t>8,00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 xml:space="preserve">           93,00 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u w:val="single"/>
        </w:rPr>
        <w:t>„</w:t>
      </w:r>
      <w:r>
        <w:rPr>
          <w:b/>
          <w:i/>
          <w:u w:val="single"/>
        </w:rPr>
        <w:t>RADUN AVIA“ DOO. Novi Sad, Пут Шајкашког одреда 2а., 21000 НОВИ САД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69,66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</w:r>
      <w:r>
        <w:rPr>
          <w:b/>
          <w:u w:val="single"/>
        </w:rPr>
        <w:t xml:space="preserve">           10,00  пондера</w:t>
      </w:r>
    </w:p>
    <w:p>
      <w:pPr>
        <w:pStyle w:val="style0"/>
        <w:jc w:val="both"/>
      </w:pPr>
      <w:r>
        <w:rPr>
          <w:b/>
          <w:shd w:fill="00FF00" w:val="clear"/>
        </w:rPr>
        <w:t>Укупно:</w:t>
        <w:tab/>
        <w:tab/>
        <w:tab/>
        <w:t>94,66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69,77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 xml:space="preserve">           </w:t>
      </w:r>
      <w:r>
        <w:rPr>
          <w:b/>
          <w:u w:val="single"/>
        </w:rPr>
        <w:t>10,00  пондера</w:t>
      </w:r>
    </w:p>
    <w:p>
      <w:pPr>
        <w:pStyle w:val="style0"/>
        <w:jc w:val="both"/>
      </w:pPr>
      <w:r>
        <w:rPr>
          <w:b/>
          <w:shd w:fill="00FF00" w:val="clear"/>
        </w:rPr>
        <w:t>Укупно:</w:t>
        <w:tab/>
        <w:tab/>
        <w:tab/>
        <w:t>94,77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Према изложеном Уговор о купопродаји горива на однову Јавне набавке бр. 2/2018. Дома здравља Нови Кнежевац закључиће се са понуђачем: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>RADUN AVIA“ DOO. Novi Sad, Пут Шајкашког одреда 2а., 21000 НОВИ САД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под следећим условима: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119,50 динара без ПДВ. по литру</w:t>
      </w:r>
    </w:p>
    <w:p>
      <w:pPr>
        <w:pStyle w:val="style0"/>
        <w:jc w:val="both"/>
      </w:pPr>
      <w:r>
        <w:rPr/>
        <w:t>Рок плаћања:</w:t>
        <w:tab/>
        <w:tab/>
        <w:tab/>
      </w:r>
      <w:r>
        <w:rPr>
          <w:b/>
        </w:rPr>
        <w:t>47 дана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127,42 динара без ПДВ. по литру</w:t>
      </w:r>
    </w:p>
    <w:p>
      <w:pPr>
        <w:pStyle w:val="style0"/>
        <w:jc w:val="both"/>
      </w:pPr>
      <w:r>
        <w:rPr/>
        <w:t>Рок плаћања:</w:t>
        <w:tab/>
        <w:tab/>
        <w:t xml:space="preserve">           </w:t>
      </w:r>
      <w:r>
        <w:rPr>
          <w:b/>
        </w:rPr>
        <w:t>47 дана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p>
      <w:pPr>
        <w:pStyle w:val="style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718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0"/>
    <w:pPr>
      <w:keepNext/>
      <w:widowControl w:val="false"/>
      <w:numPr>
        <w:ilvl w:val="0"/>
        <w:numId w:val="1"/>
      </w:numPr>
      <w:suppressAutoHyphens w:val="true"/>
      <w:ind w:hanging="0" w:left="360" w:right="0"/>
      <w:jc w:val="both"/>
      <w:outlineLvl w:val="0"/>
    </w:pPr>
    <w:rPr>
      <w:rFonts w:cs="Lohit Hindi" w:eastAsia="AR PL KaitiM GB"/>
      <w:b/>
      <w:bCs/>
      <w:lang w:bidi="hi-IN" w:eastAsia="zh-CN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Címsor 1 Char"/>
    <w:basedOn w:val="style15"/>
    <w:next w:val="style20"/>
    <w:rPr>
      <w:rFonts w:cs="Lohit Hindi" w:eastAsia="AR PL KaitiM GB"/>
      <w:b/>
      <w:bCs/>
      <w:sz w:val="24"/>
      <w:szCs w:val="24"/>
      <w:lang w:bidi="hi-IN" w:eastAsia="zh-CN"/>
    </w:rPr>
  </w:style>
  <w:style w:styleId="style21" w:type="character">
    <w:name w:val="Szövegtörzs behúzással Char"/>
    <w:basedOn w:val="style15"/>
    <w:next w:val="style21"/>
    <w:rPr>
      <w:sz w:val="24"/>
      <w:szCs w:val="24"/>
      <w:lang w:val="sr-R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ListLabel 3"/>
    <w:next w:val="style24"/>
    <w:rPr>
      <w:b/>
    </w:rPr>
  </w:style>
  <w:style w:styleId="style25" w:type="character">
    <w:name w:val="ListLabel 4"/>
    <w:next w:val="style25"/>
    <w:rPr>
      <w:rFonts w:cs="Arial" w:eastAsia="Calibri"/>
    </w:rPr>
  </w:style>
  <w:style w:styleId="style26" w:type="character">
    <w:name w:val="ListLabel 5"/>
    <w:next w:val="style26"/>
    <w:rPr>
      <w:rFonts w:cs="Garamond"/>
    </w:rPr>
  </w:style>
  <w:style w:styleId="style27" w:type="character">
    <w:name w:val="ListLabel 6"/>
    <w:next w:val="style27"/>
    <w:rPr>
      <w:rFonts w:cs="Wingdings"/>
    </w:rPr>
  </w:style>
  <w:style w:styleId="style28" w:type="character">
    <w:name w:val="ListLabel 7"/>
    <w:next w:val="style28"/>
    <w:rPr>
      <w:rFonts w:cs="Symbol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Text body indent"/>
    <w:basedOn w:val="style0"/>
    <w:next w:val="style37"/>
    <w:pPr>
      <w:ind w:hanging="0" w:left="540" w:right="0"/>
    </w:pPr>
    <w:rPr>
      <w:lang w:val="sr-RS"/>
    </w:rPr>
  </w:style>
  <w:style w:styleId="style38" w:type="paragraph">
    <w:name w:val="Listaszerű bekezdés1"/>
    <w:basedOn w:val="style0"/>
    <w:next w:val="style38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2018-06-08T10:31:00.00Z</dcterms:created>
  <dc:creator>..</dc:creator>
  <cp:lastModifiedBy>User</cp:lastModifiedBy>
  <cp:lastPrinted>2018-06-12T09:01:21.00Z</cp:lastPrinted>
  <dcterms:modified xsi:type="dcterms:W3CDTF">2018-06-08T10:31:00.00Z</dcterms:modified>
  <cp:revision>2</cp:revision>
  <dc:title>„DOM ZDRAVLJA“</dc:title>
</cp:coreProperties>
</file>